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Style w:val="TableGrid"/>
        <w:tblW w:w="0" w:type="auto"/>
        <w:tblLook w:val="04A0"/>
      </w:tblPr>
      <w:tblGrid>
        <w:gridCol w:w="1218"/>
        <w:gridCol w:w="6629"/>
        <w:gridCol w:w="1214"/>
      </w:tblGrid>
      <w:tr w14:paraId="696469A3"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FE70A0" w14:paraId="19D2D73A" w14:textId="77777777">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5A3EEC" w:rsidP="000E429F" w14:paraId="489799B2" w14:textId="77777777">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255074" w14:paraId="7AF02265" w14:textId="77777777">
            <w:pPr>
              <w:jc w:val="center"/>
              <w:rPr>
                <w:szCs w:val="28"/>
              </w:rPr>
            </w:pPr>
          </w:p>
        </w:tc>
      </w:tr>
      <w:tr w14:paraId="39201F84"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5A3EEC" w:rsidP="00255074" w14:paraId="4C357040" w14:textId="0314FDC4">
            <w:pPr>
              <w:jc w:val="center"/>
              <w:rPr>
                <w:szCs w:val="28"/>
              </w:rPr>
            </w:pPr>
            <w:r w:rsidRPr="005A3EEC">
              <w:rPr>
                <w:rFonts w:ascii="Times New Roman" w:eastAsia="Times New Roman" w:hAnsi="Times New Roman"/>
                <w:color w:val="231F20"/>
                <w:sz w:val="17"/>
                <w:szCs w:val="17"/>
              </w:rPr>
              <w:t>Brīvības iela 72</w:t>
            </w:r>
            <w:r w:rsidR="00A844A5">
              <w:rPr>
                <w:rFonts w:ascii="Times New Roman" w:eastAsia="Times New Roman" w:hAnsi="Times New Roman"/>
                <w:color w:val="231F20"/>
                <w:sz w:val="17"/>
                <w:szCs w:val="17"/>
              </w:rPr>
              <w:t xml:space="preserve"> k-1</w:t>
            </w:r>
            <w:r w:rsidRPr="005A3EEC">
              <w:rPr>
                <w:rFonts w:ascii="Times New Roman" w:eastAsia="Times New Roman" w:hAnsi="Times New Roman"/>
                <w:color w:val="231F20"/>
                <w:sz w:val="17"/>
                <w:szCs w:val="17"/>
              </w:rPr>
              <w:t xml:space="preserve">, Rīga, LV-1011, tālr. 67876000, fakss 67876002, e-pasts </w:t>
            </w:r>
            <w:r w:rsidR="00DE4D25">
              <w:rPr>
                <w:rFonts w:ascii="Times New Roman" w:eastAsia="Times New Roman" w:hAnsi="Times New Roman"/>
                <w:color w:val="231F20"/>
                <w:sz w:val="17"/>
                <w:szCs w:val="17"/>
              </w:rPr>
              <w:t>pasts</w:t>
            </w:r>
            <w:r w:rsidRPr="005A3EEC">
              <w:rPr>
                <w:rFonts w:ascii="Times New Roman" w:eastAsia="Times New Roman" w:hAnsi="Times New Roman"/>
                <w:color w:val="231F20"/>
                <w:sz w:val="17"/>
                <w:szCs w:val="17"/>
              </w:rPr>
              <w:t>@vm.gov.lv, www.vm.gov.lv</w:t>
            </w:r>
          </w:p>
        </w:tc>
      </w:tr>
      <w:tr w14:paraId="7FDED33A"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RPr="005A3EEC" w:rsidP="00255074" w14:paraId="2065E3BF" w14:textId="77777777">
            <w:pPr>
              <w:jc w:val="center"/>
              <w:rPr>
                <w:szCs w:val="28"/>
              </w:rPr>
            </w:pPr>
            <w:r w:rsidRPr="005A3EEC">
              <w:rPr>
                <w:rFonts w:ascii="Times New Roman" w:hAnsi="Times New Roman"/>
                <w:sz w:val="28"/>
                <w:szCs w:val="28"/>
              </w:rPr>
              <w:t>Rīgā</w:t>
            </w:r>
          </w:p>
        </w:tc>
      </w:tr>
    </w:tbl>
    <w:p w:rsidR="00255074" w:rsidRPr="005A3EEC" w:rsidP="00BD73D9" w14:paraId="225A44CB" w14:textId="77777777">
      <w:pPr>
        <w:tabs>
          <w:tab w:val="left" w:pos="0"/>
          <w:tab w:val="right" w:pos="4678"/>
        </w:tabs>
        <w:spacing w:after="0" w:line="240" w:lineRule="auto"/>
        <w:rPr>
          <w:rFonts w:ascii="Times New Roman" w:hAnsi="Times New Roman"/>
          <w:sz w:val="28"/>
          <w:szCs w:val="28"/>
        </w:rPr>
      </w:pPr>
    </w:p>
    <w:p w:rsidR="00CE12D7" w:rsidRPr="005A3EEC" w:rsidP="00CE12D7" w14:paraId="718E9B53" w14:textId="2D4EECFA">
      <w:pPr>
        <w:pStyle w:val="pamattekststabul"/>
        <w:spacing w:before="0" w:beforeAutospacing="0" w:after="0" w:afterAutospacing="0"/>
        <w:rPr>
          <w:rFonts w:ascii="Verdana" w:hAnsi="Verdana"/>
          <w:sz w:val="20"/>
          <w:szCs w:val="20"/>
          <w:lang w:val="lv-LV"/>
        </w:rPr>
      </w:pPr>
      <w:r w:rsidRPr="005A3EEC">
        <w:rPr>
          <w:noProof/>
          <w:sz w:val="28"/>
          <w:szCs w:val="28"/>
          <w:lang w:val="lv-LV"/>
        </w:rPr>
        <w:t>03.01.2024</w:t>
      </w:r>
      <w:r w:rsidR="0060600A">
        <w:rPr>
          <w:sz w:val="28"/>
          <w:szCs w:val="28"/>
          <w:lang w:val="lv-LV"/>
        </w:rPr>
        <w:t xml:space="preserve"> </w:t>
      </w:r>
      <w:r w:rsidRPr="005A3EEC">
        <w:rPr>
          <w:sz w:val="28"/>
          <w:szCs w:val="28"/>
          <w:lang w:val="lv-LV"/>
        </w:rPr>
        <w:t xml:space="preserve">Nr. </w:t>
      </w:r>
      <w:r w:rsidRPr="005A3EEC">
        <w:rPr>
          <w:noProof/>
          <w:sz w:val="28"/>
          <w:szCs w:val="28"/>
          <w:lang w:val="lv-LV"/>
        </w:rPr>
        <w:t>01-17.1/16</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3"/>
        <w:gridCol w:w="1975"/>
        <w:gridCol w:w="709"/>
        <w:gridCol w:w="2835"/>
        <w:gridCol w:w="2160"/>
      </w:tblGrid>
      <w:tr w14:paraId="3201D409" w14:textId="77777777" w:rsidTr="00E8682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69"/>
        </w:trPr>
        <w:tc>
          <w:tcPr>
            <w:tcW w:w="543" w:type="dxa"/>
          </w:tcPr>
          <w:p w:rsidR="00A47C5D" w:rsidRPr="00461490" w:rsidP="008D18D6" w14:paraId="3CA8DE22" w14:textId="77777777">
            <w:pPr>
              <w:pStyle w:val="pamattekststabul"/>
              <w:spacing w:before="0" w:beforeAutospacing="0" w:after="0" w:afterAutospacing="0"/>
              <w:rPr>
                <w:sz w:val="28"/>
                <w:szCs w:val="28"/>
                <w:lang w:val="lv-LV"/>
              </w:rPr>
            </w:pPr>
            <w:r w:rsidRPr="00461490">
              <w:rPr>
                <w:sz w:val="28"/>
                <w:szCs w:val="28"/>
                <w:lang w:val="lv-LV"/>
              </w:rPr>
              <w:t>Uz</w:t>
            </w:r>
          </w:p>
        </w:tc>
        <w:tc>
          <w:tcPr>
            <w:tcW w:w="1975" w:type="dxa"/>
            <w:tcBorders>
              <w:bottom w:val="single" w:sz="4" w:space="0" w:color="auto"/>
            </w:tcBorders>
          </w:tcPr>
          <w:p w:rsidR="00A47C5D" w:rsidRPr="00461490" w:rsidP="008D18D6" w14:paraId="355E9A4A" w14:textId="77777777">
            <w:pPr>
              <w:pStyle w:val="pamattekststabul"/>
              <w:spacing w:before="0" w:beforeAutospacing="0" w:after="0" w:afterAutospacing="0"/>
              <w:rPr>
                <w:sz w:val="28"/>
                <w:szCs w:val="28"/>
                <w:lang w:val="lv-LV"/>
              </w:rPr>
            </w:pPr>
            <w:r w:rsidRPr="00EB4F6E">
              <w:rPr>
                <w:noProof/>
                <w:sz w:val="28"/>
                <w:szCs w:val="28"/>
                <w:lang w:val="lv-LV"/>
              </w:rPr>
              <w:t>12.12.2023</w:t>
            </w:r>
          </w:p>
        </w:tc>
        <w:tc>
          <w:tcPr>
            <w:tcW w:w="709" w:type="dxa"/>
          </w:tcPr>
          <w:p w:rsidR="00A47C5D" w:rsidRPr="00556D5B" w:rsidP="008D18D6" w14:paraId="0951DDDB" w14:textId="77777777">
            <w:pPr>
              <w:pStyle w:val="pamattekststabul"/>
              <w:spacing w:before="0" w:beforeAutospacing="0" w:after="0" w:afterAutospacing="0"/>
              <w:rPr>
                <w:sz w:val="28"/>
                <w:szCs w:val="28"/>
                <w:lang w:val="lv-LV"/>
              </w:rPr>
            </w:pPr>
            <w:r w:rsidRPr="00556D5B">
              <w:rPr>
                <w:sz w:val="28"/>
                <w:szCs w:val="28"/>
                <w:lang w:val="lv-LV"/>
              </w:rPr>
              <w:t>Nr.</w:t>
            </w:r>
          </w:p>
        </w:tc>
        <w:tc>
          <w:tcPr>
            <w:tcW w:w="2835" w:type="dxa"/>
            <w:tcBorders>
              <w:bottom w:val="single" w:sz="4" w:space="0" w:color="auto"/>
            </w:tcBorders>
          </w:tcPr>
          <w:p w:rsidR="00A47C5D" w:rsidRPr="00556D5B" w:rsidP="008D18D6" w14:paraId="24B8CD49" w14:textId="77777777">
            <w:pPr>
              <w:pStyle w:val="pamattekststabul"/>
              <w:spacing w:before="0" w:beforeAutospacing="0" w:after="0" w:afterAutospacing="0"/>
              <w:rPr>
                <w:sz w:val="28"/>
                <w:szCs w:val="28"/>
                <w:lang w:val="lv-LV"/>
              </w:rPr>
            </w:pPr>
            <w:r w:rsidRPr="00EB4F6E">
              <w:rPr>
                <w:noProof/>
                <w:sz w:val="28"/>
                <w:szCs w:val="28"/>
                <w:lang w:val="lv-LV"/>
              </w:rPr>
              <w:t>23-16</w:t>
            </w:r>
          </w:p>
        </w:tc>
        <w:tc>
          <w:tcPr>
            <w:tcW w:w="2160" w:type="dxa"/>
          </w:tcPr>
          <w:p w:rsidR="00A47C5D" w:rsidRPr="00556D5B" w:rsidP="008D18D6" w14:paraId="60A8423C" w14:textId="77777777">
            <w:pPr>
              <w:pStyle w:val="pamattekststabul"/>
              <w:spacing w:before="0" w:beforeAutospacing="0" w:after="0" w:afterAutospacing="0"/>
              <w:rPr>
                <w:sz w:val="28"/>
                <w:szCs w:val="28"/>
                <w:lang w:val="lv-LV"/>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6B9119E9" w14:textId="77777777" w:rsidTr="0041608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EA1868" w:rsidRPr="00556D5B" w:rsidP="0041608F" w14:paraId="0B3027C0" w14:textId="77777777">
            <w:pPr>
              <w:rPr>
                <w:rFonts w:ascii="Times New Roman" w:hAnsi="Times New Roman"/>
                <w:i/>
                <w:sz w:val="28"/>
                <w:szCs w:val="28"/>
              </w:rPr>
            </w:pPr>
            <w:bookmarkStart w:id="0" w:name="_Hlk505799474"/>
          </w:p>
        </w:tc>
        <w:tc>
          <w:tcPr>
            <w:tcW w:w="4531" w:type="dxa"/>
          </w:tcPr>
          <w:p w:rsidR="00DD5F14" w:rsidP="00FE70A0" w14:paraId="5171B95B" w14:textId="77777777">
            <w:pPr>
              <w:jc w:val="right"/>
              <w:rPr>
                <w:rFonts w:ascii="Times New Roman" w:eastAsia="Times New Roman" w:hAnsi="Times New Roman"/>
                <w:sz w:val="28"/>
                <w:szCs w:val="28"/>
              </w:rPr>
            </w:pPr>
          </w:p>
          <w:p w:rsidR="00125BA2" w:rsidRPr="00125BA2" w:rsidP="00FE70A0" w14:paraId="1C2F1D7B" w14:textId="77777777">
            <w:pPr>
              <w:jc w:val="right"/>
              <w:rPr>
                <w:rFonts w:ascii="Times New Roman" w:eastAsia="Times New Roman" w:hAnsi="Times New Roman"/>
                <w:b/>
                <w:bCs/>
                <w:noProof/>
                <w:sz w:val="28"/>
                <w:szCs w:val="28"/>
              </w:rPr>
            </w:pPr>
            <w:r w:rsidRPr="00125BA2">
              <w:rPr>
                <w:rFonts w:ascii="Times New Roman" w:eastAsia="Times New Roman" w:hAnsi="Times New Roman"/>
                <w:b/>
                <w:bCs/>
                <w:noProof/>
                <w:sz w:val="28"/>
                <w:szCs w:val="28"/>
              </w:rPr>
              <w:t>Latvijas Onkoloģijas pacientu organizāciju apvienība</w:t>
            </w:r>
            <w:r w:rsidRPr="00125BA2">
              <w:rPr>
                <w:rFonts w:ascii="Times New Roman" w:eastAsia="Times New Roman" w:hAnsi="Times New Roman"/>
                <w:b/>
                <w:bCs/>
                <w:noProof/>
                <w:sz w:val="28"/>
                <w:szCs w:val="28"/>
              </w:rPr>
              <w:t>i “</w:t>
            </w:r>
            <w:r w:rsidRPr="00125BA2">
              <w:rPr>
                <w:rFonts w:ascii="Times New Roman" w:eastAsia="Times New Roman" w:hAnsi="Times New Roman"/>
                <w:b/>
                <w:bCs/>
                <w:noProof/>
                <w:sz w:val="28"/>
                <w:szCs w:val="28"/>
              </w:rPr>
              <w:t>ONKOALIANSE</w:t>
            </w:r>
            <w:r w:rsidRPr="00125BA2">
              <w:rPr>
                <w:rFonts w:ascii="Times New Roman" w:eastAsia="Times New Roman" w:hAnsi="Times New Roman"/>
                <w:b/>
                <w:bCs/>
                <w:noProof/>
                <w:sz w:val="28"/>
                <w:szCs w:val="28"/>
              </w:rPr>
              <w:t>”</w:t>
            </w:r>
          </w:p>
          <w:p w:rsidR="00125BA2" w:rsidP="00FE70A0" w14:paraId="22DD5E29" w14:textId="77777777">
            <w:pPr>
              <w:jc w:val="right"/>
              <w:rPr>
                <w:rFonts w:ascii="Times New Roman" w:eastAsia="Times New Roman" w:hAnsi="Times New Roman"/>
                <w:noProof/>
                <w:sz w:val="28"/>
                <w:szCs w:val="28"/>
              </w:rPr>
            </w:pPr>
          </w:p>
          <w:p w:rsidR="00EA1868" w:rsidP="00FE70A0" w14:paraId="12E0B246" w14:textId="4D2AF895">
            <w:pPr>
              <w:jc w:val="right"/>
              <w:rPr>
                <w:rFonts w:ascii="Times New Roman" w:eastAsia="Times New Roman" w:hAnsi="Times New Roman"/>
                <w:sz w:val="28"/>
                <w:szCs w:val="28"/>
              </w:rPr>
            </w:pPr>
            <w:r w:rsidRPr="00125BA2">
              <w:rPr>
                <w:rFonts w:ascii="Times New Roman" w:eastAsia="Times New Roman" w:hAnsi="Times New Roman"/>
                <w:noProof/>
                <w:sz w:val="28"/>
                <w:szCs w:val="28"/>
              </w:rPr>
              <w:t>Informācijai</w:t>
            </w:r>
            <w:r>
              <w:rPr>
                <w:rFonts w:ascii="Times New Roman" w:eastAsia="Times New Roman" w:hAnsi="Times New Roman"/>
                <w:noProof/>
                <w:sz w:val="28"/>
                <w:szCs w:val="28"/>
              </w:rPr>
              <w:t xml:space="preserve">: </w:t>
            </w:r>
            <w:r w:rsidRPr="005A3EEC" w:rsidR="00616D17">
              <w:rPr>
                <w:rFonts w:ascii="Times New Roman" w:eastAsia="Times New Roman" w:hAnsi="Times New Roman"/>
                <w:noProof/>
                <w:sz w:val="28"/>
                <w:szCs w:val="28"/>
              </w:rPr>
              <w:t>Nacionāla</w:t>
            </w:r>
            <w:r>
              <w:rPr>
                <w:rFonts w:ascii="Times New Roman" w:eastAsia="Times New Roman" w:hAnsi="Times New Roman"/>
                <w:noProof/>
                <w:sz w:val="28"/>
                <w:szCs w:val="28"/>
              </w:rPr>
              <w:t xml:space="preserve">jam </w:t>
            </w:r>
            <w:r w:rsidRPr="005A3EEC" w:rsidR="00616D17">
              <w:rPr>
                <w:rFonts w:ascii="Times New Roman" w:eastAsia="Times New Roman" w:hAnsi="Times New Roman"/>
                <w:noProof/>
                <w:sz w:val="28"/>
                <w:szCs w:val="28"/>
              </w:rPr>
              <w:t>veselības dienest</w:t>
            </w:r>
            <w:r>
              <w:rPr>
                <w:rFonts w:ascii="Times New Roman" w:eastAsia="Times New Roman" w:hAnsi="Times New Roman"/>
                <w:noProof/>
                <w:sz w:val="28"/>
                <w:szCs w:val="28"/>
              </w:rPr>
              <w:t>am</w:t>
            </w:r>
          </w:p>
          <w:p w:rsidR="008155FB" w:rsidRPr="00A477D6" w:rsidP="00FE70A0" w14:paraId="5123F594" w14:textId="77777777">
            <w:pPr>
              <w:jc w:val="right"/>
              <w:rPr>
                <w:rFonts w:ascii="Times New Roman" w:hAnsi="Times New Roman"/>
                <w:sz w:val="28"/>
                <w:szCs w:val="28"/>
              </w:rPr>
            </w:pPr>
          </w:p>
        </w:tc>
      </w:tr>
      <w:tr w14:paraId="145BBD57" w14:textId="77777777" w:rsidTr="0041608F">
        <w:tblPrEx>
          <w:tblW w:w="0" w:type="auto"/>
          <w:tblLook w:val="04A0"/>
        </w:tblPrEx>
        <w:tc>
          <w:tcPr>
            <w:tcW w:w="4530" w:type="dxa"/>
          </w:tcPr>
          <w:p w:rsidR="00EA1868" w:rsidRPr="00556D5B" w:rsidP="0041608F" w14:paraId="389BF61B" w14:textId="77777777">
            <w:pPr>
              <w:rPr>
                <w:rFonts w:ascii="Times New Roman" w:hAnsi="Times New Roman"/>
                <w:sz w:val="28"/>
                <w:szCs w:val="28"/>
              </w:rPr>
            </w:pPr>
            <w:bookmarkStart w:id="1" w:name="_Hlk505798417"/>
            <w:r w:rsidRPr="00556D5B">
              <w:rPr>
                <w:rFonts w:ascii="Times New Roman" w:hAnsi="Times New Roman"/>
                <w:i/>
                <w:noProof/>
                <w:sz w:val="28"/>
                <w:szCs w:val="28"/>
              </w:rPr>
              <w:t>Par onkoloģijas nozares finansējumu 2024. gada budžetā</w:t>
            </w:r>
            <w:bookmarkEnd w:id="1"/>
          </w:p>
        </w:tc>
        <w:tc>
          <w:tcPr>
            <w:tcW w:w="4531" w:type="dxa"/>
          </w:tcPr>
          <w:p w:rsidR="00EA1868" w:rsidRPr="00A477D6" w:rsidP="0041608F" w14:paraId="523D4A64" w14:textId="77777777">
            <w:pPr>
              <w:jc w:val="right"/>
              <w:rPr>
                <w:rFonts w:ascii="Times New Roman" w:hAnsi="Times New Roman"/>
                <w:sz w:val="28"/>
                <w:szCs w:val="28"/>
              </w:rPr>
            </w:pPr>
          </w:p>
        </w:tc>
      </w:tr>
      <w:bookmarkEnd w:id="0"/>
    </w:tbl>
    <w:p w:rsidR="00BE191A" w:rsidRPr="005A3EEC" w:rsidP="00962685" w14:paraId="1E7B725F" w14:textId="77777777">
      <w:pPr>
        <w:spacing w:after="0" w:line="240" w:lineRule="auto"/>
        <w:ind w:firstLine="720"/>
        <w:jc w:val="both"/>
        <w:rPr>
          <w:rFonts w:ascii="Times New Roman" w:hAnsi="Times New Roman"/>
          <w:sz w:val="28"/>
          <w:szCs w:val="28"/>
        </w:rPr>
      </w:pPr>
    </w:p>
    <w:p w:rsidR="00C215C3" w:rsidRPr="000E49E4" w:rsidP="00C215C3" w14:paraId="644724EE" w14:textId="77777777">
      <w:pPr>
        <w:spacing w:after="0" w:line="240" w:lineRule="auto"/>
        <w:ind w:firstLine="720"/>
        <w:jc w:val="both"/>
        <w:rPr>
          <w:rFonts w:ascii="Times New Roman" w:hAnsi="Times New Roman"/>
          <w:sz w:val="28"/>
          <w:szCs w:val="28"/>
        </w:rPr>
      </w:pPr>
      <w:r>
        <w:rPr>
          <w:rFonts w:ascii="Times New Roman" w:hAnsi="Times New Roman"/>
          <w:sz w:val="28"/>
          <w:szCs w:val="28"/>
        </w:rPr>
        <w:t>At</w:t>
      </w:r>
      <w:r w:rsidRPr="00D7385E">
        <w:rPr>
          <w:rFonts w:ascii="Times New Roman" w:hAnsi="Times New Roman"/>
          <w:sz w:val="28"/>
          <w:szCs w:val="28"/>
        </w:rPr>
        <w:t>bildot uz Latvijas Onkoloģijas pacientu organizāciju apvienība</w:t>
      </w:r>
      <w:r>
        <w:rPr>
          <w:rFonts w:ascii="Times New Roman" w:hAnsi="Times New Roman"/>
          <w:sz w:val="28"/>
          <w:szCs w:val="28"/>
        </w:rPr>
        <w:t>s</w:t>
      </w:r>
      <w:r w:rsidRPr="00D7385E">
        <w:rPr>
          <w:rFonts w:ascii="Times New Roman" w:hAnsi="Times New Roman"/>
          <w:sz w:val="28"/>
          <w:szCs w:val="28"/>
        </w:rPr>
        <w:t xml:space="preserve"> </w:t>
      </w:r>
      <w:r>
        <w:rPr>
          <w:rFonts w:ascii="Times New Roman" w:hAnsi="Times New Roman"/>
          <w:sz w:val="28"/>
          <w:szCs w:val="28"/>
        </w:rPr>
        <w:t>“</w:t>
      </w:r>
      <w:r w:rsidRPr="00D7385E">
        <w:rPr>
          <w:rFonts w:ascii="Times New Roman" w:hAnsi="Times New Roman"/>
          <w:sz w:val="28"/>
          <w:szCs w:val="28"/>
        </w:rPr>
        <w:t>Onkoalianse</w:t>
      </w:r>
      <w:r>
        <w:rPr>
          <w:rFonts w:ascii="Times New Roman" w:hAnsi="Times New Roman"/>
          <w:sz w:val="28"/>
          <w:szCs w:val="28"/>
        </w:rPr>
        <w:t xml:space="preserve">” par onkoloģijas nozares finansējumu 2024. gadā, Veselības ministrija sadarbībā ar Nacionālo veselības dienestu sniedz šādu informāciju. </w:t>
      </w:r>
    </w:p>
    <w:p w:rsidR="00C215C3" w:rsidRPr="00BE6BB4" w:rsidP="00C215C3" w14:paraId="1860A80A" w14:textId="77777777">
      <w:pPr>
        <w:spacing w:after="0" w:line="240" w:lineRule="auto"/>
        <w:ind w:firstLine="720"/>
        <w:jc w:val="both"/>
        <w:rPr>
          <w:rFonts w:ascii="Times New Roman" w:hAnsi="Times New Roman"/>
          <w:sz w:val="28"/>
          <w:szCs w:val="28"/>
        </w:rPr>
      </w:pPr>
      <w:r w:rsidRPr="000E49E4">
        <w:rPr>
          <w:rFonts w:ascii="Times New Roman" w:hAnsi="Times New Roman"/>
          <w:sz w:val="28"/>
          <w:szCs w:val="28"/>
        </w:rPr>
        <w:t xml:space="preserve">Atbilstoši likumam “Par valsts budžetu 2024.gadam un budžeta ietvaru 2024., 2025. un 2026.gadam” 2024.gada </w:t>
      </w:r>
      <w:r>
        <w:rPr>
          <w:rFonts w:ascii="Times New Roman" w:hAnsi="Times New Roman"/>
          <w:sz w:val="28"/>
          <w:szCs w:val="28"/>
        </w:rPr>
        <w:t>k</w:t>
      </w:r>
      <w:r w:rsidRPr="00F722A8">
        <w:rPr>
          <w:rFonts w:ascii="Times New Roman" w:hAnsi="Times New Roman"/>
          <w:sz w:val="28"/>
          <w:szCs w:val="28"/>
        </w:rPr>
        <w:t>opējais valsts finansējums onkoloģijas pacientu profilaksei un ārstēšana</w:t>
      </w:r>
      <w:r>
        <w:rPr>
          <w:rFonts w:ascii="Times New Roman" w:hAnsi="Times New Roman"/>
          <w:sz w:val="28"/>
          <w:szCs w:val="28"/>
        </w:rPr>
        <w:t xml:space="preserve">i sastāda </w:t>
      </w:r>
      <w:r w:rsidRPr="000E49E4">
        <w:rPr>
          <w:rFonts w:ascii="Times New Roman" w:hAnsi="Times New Roman"/>
          <w:sz w:val="28"/>
          <w:szCs w:val="28"/>
        </w:rPr>
        <w:t>1</w:t>
      </w:r>
      <w:r>
        <w:rPr>
          <w:rFonts w:ascii="Times New Roman" w:hAnsi="Times New Roman"/>
          <w:sz w:val="28"/>
          <w:szCs w:val="28"/>
        </w:rPr>
        <w:t>87 595 820</w:t>
      </w:r>
      <w:r w:rsidRPr="000E49E4">
        <w:rPr>
          <w:rFonts w:ascii="Times New Roman" w:hAnsi="Times New Roman"/>
          <w:sz w:val="28"/>
          <w:szCs w:val="28"/>
        </w:rPr>
        <w:t xml:space="preserve"> euro</w:t>
      </w:r>
      <w:r>
        <w:rPr>
          <w:rFonts w:ascii="Times New Roman" w:hAnsi="Times New Roman"/>
          <w:sz w:val="28"/>
          <w:szCs w:val="28"/>
        </w:rPr>
        <w:t>, kas kopumā virzīti uz to, lai</w:t>
      </w:r>
      <w:r w:rsidRPr="00BE6BB4">
        <w:rPr>
          <w:rFonts w:ascii="Times New Roman" w:hAnsi="Times New Roman"/>
          <w:sz w:val="28"/>
          <w:szCs w:val="28"/>
        </w:rPr>
        <w:t>:</w:t>
      </w:r>
    </w:p>
    <w:p w:rsidR="00C215C3" w:rsidRPr="00BE6BB4" w:rsidP="00C215C3" w14:paraId="4F1B387C" w14:textId="77777777">
      <w:pPr>
        <w:spacing w:after="0" w:line="240" w:lineRule="auto"/>
        <w:ind w:firstLine="720"/>
        <w:jc w:val="both"/>
        <w:rPr>
          <w:rFonts w:ascii="Times New Roman" w:hAnsi="Times New Roman"/>
          <w:sz w:val="28"/>
          <w:szCs w:val="28"/>
        </w:rPr>
      </w:pPr>
      <w:r w:rsidRPr="00BE6BB4">
        <w:rPr>
          <w:rFonts w:ascii="Times New Roman" w:hAnsi="Times New Roman"/>
          <w:sz w:val="28"/>
          <w:szCs w:val="28"/>
        </w:rPr>
        <w:t>– mazinātu onkoloģisko slimību riska faktoru izplatību sabiedrībā;</w:t>
      </w:r>
    </w:p>
    <w:p w:rsidR="00C215C3" w:rsidRPr="00BE6BB4" w:rsidP="00C215C3" w14:paraId="6252D75E" w14:textId="77777777">
      <w:pPr>
        <w:spacing w:after="0" w:line="240" w:lineRule="auto"/>
        <w:ind w:firstLine="720"/>
        <w:jc w:val="both"/>
        <w:rPr>
          <w:rFonts w:ascii="Times New Roman" w:hAnsi="Times New Roman"/>
          <w:sz w:val="28"/>
          <w:szCs w:val="28"/>
        </w:rPr>
      </w:pPr>
      <w:r w:rsidRPr="00BE6BB4">
        <w:rPr>
          <w:rFonts w:ascii="Times New Roman" w:hAnsi="Times New Roman"/>
          <w:sz w:val="28"/>
          <w:szCs w:val="28"/>
        </w:rPr>
        <w:t>– ik gadu palielinātu vēža skrīninga aptveri, vienlaicīgi uzlabojot pieejamību, kvalitāti un pēcskrīninga diagnostiku;</w:t>
      </w:r>
    </w:p>
    <w:p w:rsidR="00C215C3" w:rsidRPr="00BE6BB4" w:rsidP="00C215C3" w14:paraId="1F1D27B0" w14:textId="77777777">
      <w:pPr>
        <w:spacing w:after="0" w:line="240" w:lineRule="auto"/>
        <w:ind w:firstLine="720"/>
        <w:jc w:val="both"/>
        <w:rPr>
          <w:rFonts w:ascii="Times New Roman" w:hAnsi="Times New Roman"/>
          <w:sz w:val="28"/>
          <w:szCs w:val="28"/>
        </w:rPr>
      </w:pPr>
      <w:r w:rsidRPr="00BE6BB4">
        <w:rPr>
          <w:rFonts w:ascii="Times New Roman" w:hAnsi="Times New Roman"/>
          <w:sz w:val="28"/>
          <w:szCs w:val="28"/>
        </w:rPr>
        <w:t>– uzlabotu onkoloģisko pacientu ārstniecību, tai skaitā ļaundabīgo audzēju diagnostiku, medikamentozo un ķirurģisko ārstēšanu, aprūpi, medicīniskās rehabilitācijas pakalpojumus un pacientu novērošanu remisijas periodā, nodrošinot integrētu un visaptverošu vēža pacientu aprūpi un novēršot nevienlīdzību kvalitatīvu veselības aprūpes pakalpojumu pieejamībai;</w:t>
      </w:r>
    </w:p>
    <w:p w:rsidR="00C215C3" w:rsidRPr="00BE6BB4" w:rsidP="00C215C3" w14:paraId="3C884C0D" w14:textId="77777777">
      <w:pPr>
        <w:spacing w:after="0" w:line="240" w:lineRule="auto"/>
        <w:ind w:firstLine="720"/>
        <w:jc w:val="both"/>
        <w:rPr>
          <w:rFonts w:ascii="Times New Roman" w:hAnsi="Times New Roman"/>
          <w:sz w:val="28"/>
          <w:szCs w:val="28"/>
        </w:rPr>
      </w:pPr>
      <w:r w:rsidRPr="00BE6BB4">
        <w:rPr>
          <w:rFonts w:ascii="Times New Roman" w:hAnsi="Times New Roman"/>
          <w:sz w:val="28"/>
          <w:szCs w:val="28"/>
        </w:rPr>
        <w:t>– attīstītu un veicinātu multidisciplināru pieeju onkoloģisko slimību pacientu ārstēšanā un aprūpē, tai skaitā uzlabojot onkoloģisko pacientu dzīves kvalitāti (medicīniskās rehabilitācijas, psihosociālās rehabilitācijas, paliatīvās aprūpes pakalpojumu un psihoemocionālā atbalsta pieejamību).</w:t>
      </w:r>
    </w:p>
    <w:p w:rsidR="00C215C3" w:rsidP="00C215C3" w14:paraId="53DA62A4" w14:textId="77777777">
      <w:pPr>
        <w:spacing w:after="0" w:line="240" w:lineRule="auto"/>
        <w:ind w:firstLine="720"/>
        <w:jc w:val="both"/>
        <w:rPr>
          <w:rFonts w:ascii="Times New Roman" w:hAnsi="Times New Roman"/>
          <w:sz w:val="28"/>
          <w:szCs w:val="28"/>
        </w:rPr>
      </w:pPr>
      <w:r w:rsidRPr="00BE6BB4">
        <w:rPr>
          <w:rFonts w:ascii="Times New Roman" w:hAnsi="Times New Roman"/>
          <w:sz w:val="28"/>
          <w:szCs w:val="28"/>
        </w:rPr>
        <w:t>– mazinātu nevienlīdzību ārstēšanas iznākumos un pieejamībai, veicinātu pētniecību onkoloģijas jomā.</w:t>
      </w:r>
    </w:p>
    <w:p w:rsidR="00A87B44" w:rsidP="00C215C3" w14:paraId="0570B0F6" w14:textId="263CB028">
      <w:pPr>
        <w:spacing w:after="0" w:line="240" w:lineRule="auto"/>
        <w:ind w:firstLine="720"/>
        <w:jc w:val="both"/>
        <w:rPr>
          <w:rFonts w:ascii="Times New Roman" w:hAnsi="Times New Roman"/>
          <w:sz w:val="28"/>
          <w:szCs w:val="28"/>
        </w:rPr>
      </w:pPr>
      <w:r>
        <w:rPr>
          <w:rFonts w:ascii="Times New Roman" w:hAnsi="Times New Roman"/>
          <w:sz w:val="28"/>
          <w:szCs w:val="28"/>
        </w:rPr>
        <w:t>K</w:t>
      </w:r>
      <w:r w:rsidRPr="0002081F">
        <w:rPr>
          <w:rFonts w:ascii="Times New Roman" w:hAnsi="Times New Roman"/>
          <w:sz w:val="28"/>
          <w:szCs w:val="28"/>
        </w:rPr>
        <w:t>opējais finansējums, kas ir attiecināms uz Veselības aprūpes pakalpojumu uzlabošanas plāna onkoloģijas jomā 2022.–2024. gadam</w:t>
      </w:r>
      <w:r w:rsidR="002862CB">
        <w:rPr>
          <w:rFonts w:ascii="Times New Roman" w:hAnsi="Times New Roman"/>
          <w:sz w:val="28"/>
          <w:szCs w:val="28"/>
        </w:rPr>
        <w:t xml:space="preserve"> (turpmāk – </w:t>
      </w:r>
      <w:r w:rsidR="002862CB">
        <w:rPr>
          <w:rFonts w:ascii="Times New Roman" w:hAnsi="Times New Roman"/>
          <w:sz w:val="28"/>
          <w:szCs w:val="28"/>
        </w:rPr>
        <w:t>Onko</w:t>
      </w:r>
      <w:r w:rsidR="002862CB">
        <w:rPr>
          <w:rFonts w:ascii="Times New Roman" w:hAnsi="Times New Roman"/>
          <w:sz w:val="28"/>
          <w:szCs w:val="28"/>
        </w:rPr>
        <w:t xml:space="preserve"> plāns)</w:t>
      </w:r>
      <w:r w:rsidRPr="0002081F">
        <w:rPr>
          <w:rFonts w:ascii="Times New Roman" w:hAnsi="Times New Roman"/>
          <w:sz w:val="28"/>
          <w:szCs w:val="28"/>
        </w:rPr>
        <w:t xml:space="preserve"> pasākum</w:t>
      </w:r>
      <w:r>
        <w:rPr>
          <w:rFonts w:ascii="Times New Roman" w:hAnsi="Times New Roman"/>
          <w:sz w:val="28"/>
          <w:szCs w:val="28"/>
        </w:rPr>
        <w:t>u mērķu izpildi</w:t>
      </w:r>
      <w:r w:rsidRPr="0002081F">
        <w:rPr>
          <w:rFonts w:ascii="Times New Roman" w:hAnsi="Times New Roman"/>
          <w:sz w:val="28"/>
          <w:szCs w:val="28"/>
        </w:rPr>
        <w:t xml:space="preserve"> 2024.gadā veselības nozares budžetā ir 85 686 123 euro, </w:t>
      </w:r>
      <w:r>
        <w:rPr>
          <w:rFonts w:ascii="Times New Roman" w:hAnsi="Times New Roman"/>
          <w:sz w:val="28"/>
          <w:szCs w:val="28"/>
        </w:rPr>
        <w:t>no tiem:</w:t>
      </w:r>
    </w:p>
    <w:p w:rsidR="00A87B44" w:rsidRPr="00A87B44" w:rsidP="00A87B44" w14:paraId="6D403D35" w14:textId="2B5FC2C3">
      <w:pPr>
        <w:pStyle w:val="ListParagraph"/>
        <w:numPr>
          <w:ilvl w:val="0"/>
          <w:numId w:val="1"/>
        </w:numPr>
        <w:spacing w:after="0" w:line="240" w:lineRule="auto"/>
        <w:jc w:val="both"/>
        <w:rPr>
          <w:rFonts w:ascii="Times New Roman" w:hAnsi="Times New Roman"/>
          <w:sz w:val="28"/>
          <w:szCs w:val="28"/>
        </w:rPr>
      </w:pPr>
      <w:r w:rsidRPr="00A87B44">
        <w:rPr>
          <w:rFonts w:ascii="Times New Roman" w:hAnsi="Times New Roman"/>
          <w:sz w:val="28"/>
          <w:szCs w:val="28"/>
        </w:rPr>
        <w:t>15 686 123 euro</w:t>
      </w:r>
      <w:r>
        <w:rPr>
          <w:rStyle w:val="FootnoteReference"/>
          <w:rFonts w:ascii="Times New Roman" w:hAnsi="Times New Roman"/>
          <w:sz w:val="28"/>
          <w:szCs w:val="28"/>
        </w:rPr>
        <w:footnoteReference w:id="2"/>
      </w:r>
      <w:r w:rsidRPr="00A87B44">
        <w:rPr>
          <w:rFonts w:ascii="Times New Roman" w:hAnsi="Times New Roman"/>
          <w:sz w:val="28"/>
          <w:szCs w:val="28"/>
        </w:rPr>
        <w:t xml:space="preserve"> ir </w:t>
      </w:r>
      <w:r w:rsidR="002862CB">
        <w:rPr>
          <w:rFonts w:ascii="Times New Roman" w:hAnsi="Times New Roman"/>
          <w:sz w:val="28"/>
          <w:szCs w:val="28"/>
        </w:rPr>
        <w:t>papildus finansējuma piešķīrums</w:t>
      </w:r>
      <w:r w:rsidR="00024437">
        <w:rPr>
          <w:rFonts w:ascii="Times New Roman" w:hAnsi="Times New Roman"/>
          <w:sz w:val="28"/>
          <w:szCs w:val="28"/>
        </w:rPr>
        <w:t xml:space="preserve"> 2024. gadā,</w:t>
      </w:r>
      <w:r w:rsidR="002862CB">
        <w:rPr>
          <w:rFonts w:ascii="Times New Roman" w:hAnsi="Times New Roman"/>
          <w:sz w:val="28"/>
          <w:szCs w:val="28"/>
        </w:rPr>
        <w:t xml:space="preserve"> no kuriem 2 245 536 euro p</w:t>
      </w:r>
      <w:r w:rsidRPr="00A87B44" w:rsidR="002862CB">
        <w:rPr>
          <w:rFonts w:ascii="Times New Roman" w:hAnsi="Times New Roman"/>
          <w:sz w:val="28"/>
          <w:szCs w:val="28"/>
        </w:rPr>
        <w:t xml:space="preserve">apildus finansējums </w:t>
      </w:r>
      <w:r w:rsidR="00C8191F">
        <w:rPr>
          <w:rFonts w:ascii="Times New Roman" w:hAnsi="Times New Roman"/>
          <w:sz w:val="28"/>
          <w:szCs w:val="28"/>
        </w:rPr>
        <w:t>O</w:t>
      </w:r>
      <w:r w:rsidRPr="00A87B44" w:rsidR="002862CB">
        <w:rPr>
          <w:rFonts w:ascii="Times New Roman" w:hAnsi="Times New Roman"/>
          <w:sz w:val="28"/>
          <w:szCs w:val="28"/>
        </w:rPr>
        <w:t>nko</w:t>
      </w:r>
      <w:r w:rsidRPr="00A87B44" w:rsidR="002862CB">
        <w:rPr>
          <w:rFonts w:ascii="Times New Roman" w:hAnsi="Times New Roman"/>
          <w:sz w:val="28"/>
          <w:szCs w:val="28"/>
        </w:rPr>
        <w:t xml:space="preserve"> plāna kopējo mērķu sasniegšanai (nav tiešā veidā iekļauti plāna tapšanas un apstiprināšanas procesa gaitā, bet atstāj ietekmi uz kopēju </w:t>
      </w:r>
      <w:r w:rsidR="00C8191F">
        <w:rPr>
          <w:rFonts w:ascii="Times New Roman" w:hAnsi="Times New Roman"/>
          <w:sz w:val="28"/>
          <w:szCs w:val="28"/>
        </w:rPr>
        <w:t>O</w:t>
      </w:r>
      <w:r w:rsidRPr="00A87B44" w:rsidR="002862CB">
        <w:rPr>
          <w:rFonts w:ascii="Times New Roman" w:hAnsi="Times New Roman"/>
          <w:sz w:val="28"/>
          <w:szCs w:val="28"/>
        </w:rPr>
        <w:t>nko</w:t>
      </w:r>
      <w:r w:rsidRPr="00A87B44" w:rsidR="002862CB">
        <w:rPr>
          <w:rFonts w:ascii="Times New Roman" w:hAnsi="Times New Roman"/>
          <w:sz w:val="28"/>
          <w:szCs w:val="28"/>
        </w:rPr>
        <w:t xml:space="preserve"> plāna mērķu sasniegšanu)</w:t>
      </w:r>
      <w:r w:rsidRPr="00A87B44">
        <w:rPr>
          <w:rFonts w:ascii="Times New Roman" w:hAnsi="Times New Roman"/>
          <w:sz w:val="28"/>
          <w:szCs w:val="28"/>
        </w:rPr>
        <w:t>;</w:t>
      </w:r>
    </w:p>
    <w:p w:rsidR="00C215C3" w:rsidRPr="00A87B44" w:rsidP="00A87B44" w14:paraId="7C071833" w14:textId="77A5E902">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70 000 000 euro </w:t>
      </w:r>
      <w:r w:rsidRPr="00A87B44">
        <w:rPr>
          <w:rFonts w:ascii="Times New Roman" w:hAnsi="Times New Roman"/>
          <w:sz w:val="28"/>
          <w:szCs w:val="28"/>
        </w:rPr>
        <w:t xml:space="preserve">ir </w:t>
      </w:r>
      <w:r>
        <w:rPr>
          <w:rFonts w:ascii="Times New Roman" w:hAnsi="Times New Roman"/>
          <w:sz w:val="28"/>
          <w:szCs w:val="28"/>
        </w:rPr>
        <w:t>papildus finansējuma piešķīrums</w:t>
      </w:r>
      <w:r w:rsidR="00024437">
        <w:rPr>
          <w:rFonts w:ascii="Times New Roman" w:hAnsi="Times New Roman"/>
          <w:sz w:val="28"/>
          <w:szCs w:val="28"/>
        </w:rPr>
        <w:t xml:space="preserve"> 2022.-2023. gadā,</w:t>
      </w:r>
      <w:r>
        <w:rPr>
          <w:rFonts w:ascii="Times New Roman" w:hAnsi="Times New Roman"/>
          <w:sz w:val="28"/>
          <w:szCs w:val="28"/>
        </w:rPr>
        <w:t xml:space="preserve"> no kuriem </w:t>
      </w:r>
      <w:r w:rsidRPr="00A87B44" w:rsidR="00A87B44">
        <w:rPr>
          <w:rFonts w:ascii="Times New Roman" w:hAnsi="Times New Roman"/>
          <w:sz w:val="28"/>
          <w:szCs w:val="28"/>
        </w:rPr>
        <w:t>14 670 185 euro</w:t>
      </w:r>
      <w:r w:rsidR="00A87B44">
        <w:rPr>
          <w:rFonts w:ascii="Times New Roman" w:hAnsi="Times New Roman"/>
          <w:sz w:val="28"/>
          <w:szCs w:val="28"/>
        </w:rPr>
        <w:t xml:space="preserve"> p</w:t>
      </w:r>
      <w:r w:rsidRPr="00A87B44" w:rsidR="00A87B44">
        <w:rPr>
          <w:rFonts w:ascii="Times New Roman" w:hAnsi="Times New Roman"/>
          <w:sz w:val="28"/>
          <w:szCs w:val="28"/>
        </w:rPr>
        <w:t xml:space="preserve">apildus finansējums </w:t>
      </w:r>
      <w:r w:rsidR="00C8191F">
        <w:rPr>
          <w:rFonts w:ascii="Times New Roman" w:hAnsi="Times New Roman"/>
          <w:sz w:val="28"/>
          <w:szCs w:val="28"/>
        </w:rPr>
        <w:t>O</w:t>
      </w:r>
      <w:r w:rsidRPr="00A87B44" w:rsidR="00A87B44">
        <w:rPr>
          <w:rFonts w:ascii="Times New Roman" w:hAnsi="Times New Roman"/>
          <w:sz w:val="28"/>
          <w:szCs w:val="28"/>
        </w:rPr>
        <w:t>nko</w:t>
      </w:r>
      <w:r w:rsidRPr="00A87B44" w:rsidR="00A87B44">
        <w:rPr>
          <w:rFonts w:ascii="Times New Roman" w:hAnsi="Times New Roman"/>
          <w:sz w:val="28"/>
          <w:szCs w:val="28"/>
        </w:rPr>
        <w:t xml:space="preserve"> plāna kopējo mērķu sasniegšanai (nav tiešā veidā iekļauti plāna tapšanas un apstiprināšanas procesa gaitā, bet atstāj ietekmi uz kopēju </w:t>
      </w:r>
      <w:r w:rsidR="00C8191F">
        <w:rPr>
          <w:rFonts w:ascii="Times New Roman" w:hAnsi="Times New Roman"/>
          <w:sz w:val="28"/>
          <w:szCs w:val="28"/>
        </w:rPr>
        <w:t>O</w:t>
      </w:r>
      <w:r w:rsidRPr="00A87B44" w:rsidR="00A87B44">
        <w:rPr>
          <w:rFonts w:ascii="Times New Roman" w:hAnsi="Times New Roman"/>
          <w:sz w:val="28"/>
          <w:szCs w:val="28"/>
        </w:rPr>
        <w:t>nko</w:t>
      </w:r>
      <w:r w:rsidRPr="00A87B44" w:rsidR="00A87B44">
        <w:rPr>
          <w:rFonts w:ascii="Times New Roman" w:hAnsi="Times New Roman"/>
          <w:sz w:val="28"/>
          <w:szCs w:val="28"/>
        </w:rPr>
        <w:t xml:space="preserve"> plāna mērķu sasniegšanu)</w:t>
      </w:r>
      <w:r w:rsidRPr="00A87B44">
        <w:rPr>
          <w:rFonts w:ascii="Times New Roman" w:hAnsi="Times New Roman"/>
          <w:sz w:val="28"/>
          <w:szCs w:val="28"/>
        </w:rPr>
        <w:t>.</w:t>
      </w:r>
    </w:p>
    <w:p w:rsidR="00C215C3" w:rsidRPr="000E49E4" w:rsidP="00C215C3" w14:paraId="37384893" w14:textId="77777777">
      <w:pPr>
        <w:spacing w:after="0" w:line="240" w:lineRule="auto"/>
        <w:ind w:firstLine="720"/>
        <w:jc w:val="both"/>
        <w:rPr>
          <w:rFonts w:ascii="Times New Roman" w:hAnsi="Times New Roman"/>
          <w:sz w:val="28"/>
          <w:szCs w:val="28"/>
        </w:rPr>
      </w:pPr>
      <w:r w:rsidRPr="000E49E4">
        <w:rPr>
          <w:rFonts w:ascii="Times New Roman" w:hAnsi="Times New Roman"/>
          <w:sz w:val="28"/>
          <w:szCs w:val="28"/>
        </w:rPr>
        <w:t>Lai gan veselības aprūpes pakalpojumu uzlabošanas plāna onkoloģijas jomā 2022. - 2024. gadam identificējamais finansējuma apjoms nesasniedz 2024.gadā nepieciešamā finansējuma apjomu 113 244 961 euro, vēlamies vērs</w:t>
      </w:r>
      <w:r>
        <w:rPr>
          <w:rFonts w:ascii="Times New Roman" w:hAnsi="Times New Roman"/>
          <w:sz w:val="28"/>
          <w:szCs w:val="28"/>
        </w:rPr>
        <w:t>t</w:t>
      </w:r>
      <w:r w:rsidRPr="000E49E4">
        <w:rPr>
          <w:rFonts w:ascii="Times New Roman" w:hAnsi="Times New Roman"/>
          <w:sz w:val="28"/>
          <w:szCs w:val="28"/>
        </w:rPr>
        <w:t xml:space="preserve"> uzmanību, ka veselības aprūpes pakalpojumu pieejamība onkoloģijas jomā ir prioritāte un 2024.gadā finansējuma apjomam ir būtisks pieaugums, kas ļaus uzlabot veselības aprūpes pakalpojumu pieejamību onkoloģisko slimību pacientiem. </w:t>
      </w:r>
    </w:p>
    <w:p w:rsidR="00C215C3" w:rsidP="00C215C3" w14:paraId="0545068C" w14:textId="77777777">
      <w:pPr>
        <w:spacing w:after="0" w:line="240" w:lineRule="auto"/>
        <w:ind w:firstLine="720"/>
        <w:jc w:val="both"/>
        <w:rPr>
          <w:rFonts w:ascii="Times New Roman" w:hAnsi="Times New Roman"/>
          <w:sz w:val="28"/>
          <w:szCs w:val="28"/>
        </w:rPr>
      </w:pPr>
      <w:r w:rsidRPr="000E49E4">
        <w:rPr>
          <w:rFonts w:ascii="Times New Roman" w:hAnsi="Times New Roman"/>
          <w:sz w:val="28"/>
          <w:szCs w:val="28"/>
        </w:rPr>
        <w:t xml:space="preserve">Vienlaikus informējam, ka šobrīd tiek risināts jautājums par papildus nepieciešamo finansējumu kompensējamiem medikamentiem onkoloģijas pacientiem (kompensācijas nosacījumu paplašināšana, jaunu medikamentu iekļaušana) un tas tiek risināts kopā ar kompensējamo medikamentu saraksta pārskatīšanu, iekļaujot tajā jaunus medikamentus. Kopumā šobrīd no rezervētā finansējuma 74.resorā Veselības ministrija ir indikatīvi iezīmējusi papildus 51,6 milj. euro visiem medikamentiem.  </w:t>
      </w:r>
    </w:p>
    <w:p w:rsidR="00C215C3" w:rsidP="00C215C3" w14:paraId="4418E5DA" w14:textId="77777777">
      <w:pPr>
        <w:spacing w:after="0" w:line="240" w:lineRule="auto"/>
        <w:ind w:firstLine="720"/>
        <w:jc w:val="both"/>
        <w:rPr>
          <w:rFonts w:ascii="Times New Roman" w:hAnsi="Times New Roman"/>
          <w:sz w:val="28"/>
          <w:szCs w:val="28"/>
        </w:rPr>
      </w:pPr>
      <w:r w:rsidRPr="000E49E4">
        <w:rPr>
          <w:rFonts w:ascii="Times New Roman" w:hAnsi="Times New Roman"/>
          <w:sz w:val="28"/>
          <w:szCs w:val="28"/>
        </w:rPr>
        <w:t>Kopēj</w:t>
      </w:r>
      <w:r>
        <w:rPr>
          <w:rFonts w:ascii="Times New Roman" w:hAnsi="Times New Roman"/>
          <w:sz w:val="28"/>
          <w:szCs w:val="28"/>
        </w:rPr>
        <w:t xml:space="preserve">o </w:t>
      </w:r>
      <w:r w:rsidRPr="000E49E4">
        <w:rPr>
          <w:rFonts w:ascii="Times New Roman" w:hAnsi="Times New Roman"/>
          <w:sz w:val="28"/>
          <w:szCs w:val="28"/>
        </w:rPr>
        <w:t>valsts finansējum</w:t>
      </w:r>
      <w:r>
        <w:rPr>
          <w:rFonts w:ascii="Times New Roman" w:hAnsi="Times New Roman"/>
          <w:sz w:val="28"/>
          <w:szCs w:val="28"/>
        </w:rPr>
        <w:t>u</w:t>
      </w:r>
      <w:r w:rsidRPr="000E49E4">
        <w:rPr>
          <w:rFonts w:ascii="Times New Roman" w:hAnsi="Times New Roman"/>
          <w:sz w:val="28"/>
          <w:szCs w:val="28"/>
        </w:rPr>
        <w:t xml:space="preserve"> onkoloģijas pacientu profilaksei un ārstēšanai laika periodā 2022.-202</w:t>
      </w:r>
      <w:r>
        <w:rPr>
          <w:rFonts w:ascii="Times New Roman" w:hAnsi="Times New Roman"/>
          <w:sz w:val="28"/>
          <w:szCs w:val="28"/>
        </w:rPr>
        <w:t>4</w:t>
      </w:r>
      <w:r w:rsidRPr="000E49E4">
        <w:rPr>
          <w:rFonts w:ascii="Times New Roman" w:hAnsi="Times New Roman"/>
          <w:sz w:val="28"/>
          <w:szCs w:val="28"/>
        </w:rPr>
        <w:t>.gadam</w:t>
      </w:r>
      <w:r>
        <w:rPr>
          <w:rFonts w:ascii="Times New Roman" w:hAnsi="Times New Roman"/>
          <w:sz w:val="28"/>
          <w:szCs w:val="28"/>
        </w:rPr>
        <w:t xml:space="preserve"> l</w:t>
      </w:r>
      <w:r w:rsidRPr="000E49E4">
        <w:rPr>
          <w:rFonts w:ascii="Times New Roman" w:hAnsi="Times New Roman"/>
          <w:sz w:val="28"/>
          <w:szCs w:val="28"/>
        </w:rPr>
        <w:t>ū</w:t>
      </w:r>
      <w:r>
        <w:rPr>
          <w:rFonts w:ascii="Times New Roman" w:hAnsi="Times New Roman"/>
          <w:sz w:val="28"/>
          <w:szCs w:val="28"/>
        </w:rPr>
        <w:t xml:space="preserve">dzam </w:t>
      </w:r>
      <w:r w:rsidRPr="000E49E4">
        <w:rPr>
          <w:rFonts w:ascii="Times New Roman" w:hAnsi="Times New Roman"/>
          <w:sz w:val="28"/>
          <w:szCs w:val="28"/>
        </w:rPr>
        <w:t>skatīt vēstules pielikum</w:t>
      </w:r>
      <w:r>
        <w:rPr>
          <w:rFonts w:ascii="Times New Roman" w:hAnsi="Times New Roman"/>
          <w:sz w:val="28"/>
          <w:szCs w:val="28"/>
        </w:rPr>
        <w:t>ā</w:t>
      </w:r>
      <w:r w:rsidRPr="000E49E4">
        <w:rPr>
          <w:rFonts w:ascii="Times New Roman" w:hAnsi="Times New Roman"/>
          <w:sz w:val="28"/>
          <w:szCs w:val="28"/>
        </w:rPr>
        <w:t>.</w:t>
      </w:r>
    </w:p>
    <w:p w:rsidR="00C215C3" w:rsidP="00C215C3" w14:paraId="0A36B07E" w14:textId="77777777">
      <w:pPr>
        <w:spacing w:after="0" w:line="240" w:lineRule="auto"/>
        <w:ind w:firstLine="720"/>
        <w:jc w:val="both"/>
        <w:rPr>
          <w:rFonts w:ascii="Times New Roman" w:hAnsi="Times New Roman"/>
          <w:sz w:val="28"/>
          <w:szCs w:val="28"/>
        </w:rPr>
      </w:pPr>
    </w:p>
    <w:p w:rsidR="00C215C3" w:rsidP="00C215C3" w14:paraId="6F1D928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Pielikumā: </w:t>
      </w:r>
      <w:r w:rsidRPr="002D6C9B">
        <w:rPr>
          <w:rFonts w:ascii="Times New Roman" w:hAnsi="Times New Roman"/>
          <w:sz w:val="28"/>
          <w:szCs w:val="28"/>
        </w:rPr>
        <w:t>Kopējais valsts finansējums onkoloģijas pacientu profilaksei un ārstēšanai laika periodā 2022.-202</w:t>
      </w:r>
      <w:r>
        <w:rPr>
          <w:rFonts w:ascii="Times New Roman" w:hAnsi="Times New Roman"/>
          <w:sz w:val="28"/>
          <w:szCs w:val="28"/>
        </w:rPr>
        <w:t>4</w:t>
      </w:r>
      <w:r w:rsidRPr="002D6C9B">
        <w:rPr>
          <w:rFonts w:ascii="Times New Roman" w:hAnsi="Times New Roman"/>
          <w:sz w:val="28"/>
          <w:szCs w:val="28"/>
        </w:rPr>
        <w:t>.gadam</w:t>
      </w:r>
      <w:r>
        <w:rPr>
          <w:rFonts w:ascii="Times New Roman" w:hAnsi="Times New Roman"/>
          <w:sz w:val="28"/>
          <w:szCs w:val="28"/>
        </w:rPr>
        <w:t>.</w:t>
      </w:r>
    </w:p>
    <w:p w:rsidR="000E49E4" w:rsidP="000E49E4" w14:paraId="17C744E5" w14:textId="77777777">
      <w:pPr>
        <w:tabs>
          <w:tab w:val="center" w:pos="4678"/>
          <w:tab w:val="right" w:pos="9072"/>
        </w:tabs>
        <w:spacing w:after="0" w:line="240" w:lineRule="auto"/>
        <w:rPr>
          <w:rFonts w:ascii="Times New Roman" w:hAnsi="Times New Roman"/>
          <w:sz w:val="28"/>
          <w:szCs w:val="28"/>
        </w:rPr>
      </w:pPr>
    </w:p>
    <w:p w:rsidR="00CA2D80" w:rsidRPr="005A3EEC" w:rsidP="000E49E4" w14:paraId="59AEE50D" w14:textId="77777777">
      <w:pPr>
        <w:tabs>
          <w:tab w:val="center" w:pos="4678"/>
          <w:tab w:val="right" w:pos="9072"/>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551"/>
        <w:gridCol w:w="2834"/>
      </w:tblGrid>
      <w:tr w14:paraId="0DE5F5FC" w14:textId="77777777" w:rsidTr="000E49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86" w:type="dxa"/>
          </w:tcPr>
          <w:p w:rsidR="00BE191A" w:rsidRPr="005A3EEC" w:rsidP="0041608F" w14:paraId="263DA7D9" w14:textId="1B293C11">
            <w:pPr>
              <w:pStyle w:val="pamattekststabul"/>
              <w:tabs>
                <w:tab w:val="left" w:pos="3969"/>
                <w:tab w:val="left" w:pos="6379"/>
              </w:tabs>
              <w:rPr>
                <w:rFonts w:eastAsia="Calibri"/>
                <w:sz w:val="28"/>
                <w:szCs w:val="28"/>
                <w:lang w:val="lv-LV"/>
              </w:rPr>
            </w:pPr>
            <w:r>
              <w:rPr>
                <w:rFonts w:eastAsia="Calibri"/>
                <w:noProof/>
                <w:sz w:val="28"/>
                <w:szCs w:val="28"/>
                <w:lang w:val="lv-LV"/>
              </w:rPr>
              <w:t>V</w:t>
            </w:r>
            <w:r w:rsidRPr="005A3EEC">
              <w:rPr>
                <w:rFonts w:eastAsia="Calibri"/>
                <w:noProof/>
                <w:sz w:val="28"/>
                <w:szCs w:val="28"/>
                <w:lang w:val="lv-LV"/>
              </w:rPr>
              <w:t>alsts sekretāra vietniece veselības politikas jautājumos</w:t>
            </w:r>
          </w:p>
        </w:tc>
        <w:tc>
          <w:tcPr>
            <w:tcW w:w="2551" w:type="dxa"/>
            <w:vAlign w:val="center"/>
          </w:tcPr>
          <w:p w:rsidR="00BE191A" w:rsidRPr="005A3EEC" w:rsidP="0041608F" w14:paraId="265CE6AE"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2834" w:type="dxa"/>
          </w:tcPr>
          <w:p w:rsidR="00BE191A" w:rsidRPr="005A3EEC" w:rsidP="0041608F" w14:paraId="550A798D" w14:textId="777777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Antra Valdmane</w:t>
            </w:r>
          </w:p>
        </w:tc>
      </w:tr>
    </w:tbl>
    <w:p w:rsidR="00BE191A" w:rsidP="00BE191A" w14:paraId="4A1A7D44" w14:textId="77777777">
      <w:pPr>
        <w:spacing w:after="0"/>
        <w:rPr>
          <w:rFonts w:ascii="Times New Roman" w:hAnsi="Times New Roman"/>
          <w:sz w:val="28"/>
          <w:szCs w:val="28"/>
        </w:rPr>
      </w:pPr>
    </w:p>
    <w:p w:rsidR="00CA2D80" w:rsidRPr="005A3EEC" w:rsidP="00BE191A" w14:paraId="172C2CDE" w14:textId="77777777">
      <w:pPr>
        <w:spacing w:after="0"/>
        <w:rPr>
          <w:rFonts w:ascii="Times New Roman" w:hAnsi="Times New Roman"/>
          <w:sz w:val="28"/>
          <w:szCs w:val="28"/>
        </w:rPr>
      </w:pPr>
    </w:p>
    <w:p w:rsidR="00BE191A" w:rsidRPr="005A3EEC" w:rsidP="00EA1868" w14:paraId="17FFA313" w14:textId="77777777">
      <w:pPr>
        <w:pStyle w:val="pamattekststabul"/>
        <w:spacing w:before="0" w:beforeAutospacing="0" w:after="0" w:afterAutospacing="0"/>
        <w:rPr>
          <w:lang w:val="lv-LV"/>
        </w:rPr>
      </w:pPr>
      <w:r w:rsidRPr="005A3EEC">
        <w:rPr>
          <w:noProof/>
          <w:lang w:val="lv-LV"/>
        </w:rPr>
        <w:t>Lolita Meļķe-Prižavoite</w:t>
      </w:r>
      <w:r w:rsidRPr="005A3EEC">
        <w:rPr>
          <w:lang w:val="lv-LV"/>
        </w:rPr>
        <w:t xml:space="preserve">  </w:t>
      </w:r>
      <w:r w:rsidRPr="005A3EEC">
        <w:rPr>
          <w:noProof/>
          <w:lang w:val="lv-LV"/>
        </w:rPr>
        <w:t>67876165</w:t>
      </w:r>
    </w:p>
    <w:p w:rsidR="009A146B" w:rsidP="00EA1868" w14:paraId="451FE16D" w14:textId="1ED0ED98">
      <w:pPr>
        <w:tabs>
          <w:tab w:val="right" w:pos="9356"/>
        </w:tabs>
        <w:spacing w:after="0"/>
        <w:rPr>
          <w:rFonts w:ascii="Times New Roman" w:hAnsi="Times New Roman"/>
          <w:noProof/>
          <w:sz w:val="24"/>
          <w:szCs w:val="24"/>
        </w:rPr>
      </w:pPr>
      <w:hyperlink r:id="rId7" w:history="1">
        <w:r w:rsidRPr="002F0092" w:rsidR="00CE513A">
          <w:rPr>
            <w:rStyle w:val="Hyperlink"/>
            <w:rFonts w:ascii="Times New Roman" w:hAnsi="Times New Roman"/>
            <w:noProof/>
            <w:sz w:val="24"/>
            <w:szCs w:val="24"/>
          </w:rPr>
          <w:t>Lolita.Melke@vm.gov.lv</w:t>
        </w:r>
      </w:hyperlink>
    </w:p>
    <w:p w:rsidR="00CE513A" w:rsidP="00EA1868" w14:paraId="7ECC6446" w14:textId="77777777">
      <w:pPr>
        <w:tabs>
          <w:tab w:val="right" w:pos="9356"/>
        </w:tabs>
        <w:spacing w:after="0"/>
        <w:rPr>
          <w:rFonts w:ascii="Times New Roman" w:hAnsi="Times New Roman"/>
          <w:noProof/>
          <w:sz w:val="24"/>
          <w:szCs w:val="24"/>
        </w:rPr>
      </w:pPr>
    </w:p>
    <w:p w:rsidR="00CE513A" w:rsidP="00CE513A" w14:paraId="7541129D" w14:textId="65DF7875">
      <w:pPr>
        <w:tabs>
          <w:tab w:val="right" w:pos="9356"/>
        </w:tabs>
        <w:spacing w:after="0"/>
        <w:rPr>
          <w:rFonts w:ascii="Times New Roman" w:hAnsi="Times New Roman"/>
          <w:sz w:val="24"/>
          <w:szCs w:val="24"/>
        </w:rPr>
      </w:pPr>
      <w:r>
        <w:rPr>
          <w:rFonts w:ascii="Times New Roman" w:hAnsi="Times New Roman"/>
          <w:sz w:val="24"/>
          <w:szCs w:val="24"/>
        </w:rPr>
        <w:t xml:space="preserve">Ivita Lazdiņa </w:t>
      </w:r>
      <w:r w:rsidRPr="00CE513A">
        <w:rPr>
          <w:rFonts w:ascii="Times New Roman" w:hAnsi="Times New Roman"/>
          <w:sz w:val="24"/>
          <w:szCs w:val="24"/>
        </w:rPr>
        <w:t>67876169</w:t>
      </w:r>
    </w:p>
    <w:p w:rsidR="00CE513A" w:rsidP="00CE513A" w14:paraId="5E92A3FC" w14:textId="7EAE96D2">
      <w:pPr>
        <w:tabs>
          <w:tab w:val="right" w:pos="9356"/>
        </w:tabs>
        <w:spacing w:after="0"/>
        <w:rPr>
          <w:rFonts w:ascii="Times New Roman" w:hAnsi="Times New Roman"/>
          <w:sz w:val="24"/>
          <w:szCs w:val="24"/>
        </w:rPr>
      </w:pPr>
      <w:hyperlink r:id="rId8" w:history="1">
        <w:r w:rsidRPr="002F0092">
          <w:rPr>
            <w:rStyle w:val="Hyperlink"/>
            <w:rFonts w:ascii="Times New Roman" w:hAnsi="Times New Roman"/>
            <w:sz w:val="24"/>
            <w:szCs w:val="24"/>
          </w:rPr>
          <w:t>Ivita.Lazdina@vm.gov.lv</w:t>
        </w:r>
      </w:hyperlink>
      <w:r>
        <w:rPr>
          <w:rFonts w:ascii="Times New Roman" w:hAnsi="Times New Roman"/>
          <w:sz w:val="24"/>
          <w:szCs w:val="24"/>
        </w:rPr>
        <w:t xml:space="preserve"> </w:t>
      </w:r>
    </w:p>
    <w:p w:rsidR="00CE513A" w:rsidRPr="005A3EEC" w:rsidP="00EA1868" w14:paraId="06557060" w14:textId="3AA9D330">
      <w:pPr>
        <w:tabs>
          <w:tab w:val="right" w:pos="9356"/>
        </w:tabs>
        <w:spacing w:after="0"/>
        <w:rPr>
          <w:rFonts w:ascii="Times New Roman" w:hAnsi="Times New Roman"/>
          <w:sz w:val="24"/>
          <w:szCs w:val="24"/>
        </w:rPr>
      </w:pPr>
    </w:p>
    <w:sectPr w:rsidSect="005862AD">
      <w:headerReference w:type="default"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F24F7D" w14:paraId="5289CD78"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rsidR="00F24F7D" w:rsidRPr="009D36CB" w14:paraId="0B9C648A" w14:textId="77777777">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BE191A" w14:paraId="0F372E2D"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EA1868" w:rsidRPr="006541D3" w:rsidP="00BE191A" w14:paraId="52F32F2A" w14:textId="7777777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6D17" w14:paraId="35540F87" w14:textId="77777777">
      <w:pPr>
        <w:spacing w:after="0" w:line="240" w:lineRule="auto"/>
      </w:pPr>
      <w:r>
        <w:separator/>
      </w:r>
    </w:p>
  </w:footnote>
  <w:footnote w:type="continuationSeparator" w:id="1">
    <w:p w:rsidR="00616D17" w14:paraId="04177768" w14:textId="77777777">
      <w:pPr>
        <w:spacing w:after="0" w:line="240" w:lineRule="auto"/>
      </w:pPr>
      <w:r>
        <w:continuationSeparator/>
      </w:r>
    </w:p>
  </w:footnote>
  <w:footnote w:id="2">
    <w:p w:rsidR="00C215C3" w:rsidRPr="0002081F" w:rsidP="00C215C3" w14:paraId="5C8A8308" w14:textId="755F87DA">
      <w:pPr>
        <w:pStyle w:val="FootnoteText"/>
        <w:jc w:val="both"/>
        <w:rPr>
          <w:rFonts w:ascii="Times New Roman" w:hAnsi="Times New Roman"/>
        </w:rPr>
      </w:pPr>
      <w:r w:rsidRPr="0002081F">
        <w:rPr>
          <w:rStyle w:val="FootnoteReference"/>
          <w:rFonts w:ascii="Times New Roman" w:hAnsi="Times New Roman"/>
        </w:rPr>
        <w:footnoteRef/>
      </w:r>
      <w:r w:rsidRPr="0002081F">
        <w:rPr>
          <w:rFonts w:ascii="Times New Roman" w:hAnsi="Times New Roman"/>
        </w:rPr>
        <w:t xml:space="preserve"> ar Ministru kabineta 2023.gada 12.decembra rīkojumu Nr.883 “Par apropriācijas pārdali no budžeta resora “74. Gadskārtējā valsts budžeta izpildes procesā pārdalāmais finansējums” 20.00.00 programmas “Veselības aprūpes pasākumu īstenošana” uz budžeta resoru “10. Aizsardzības ministrija”, “14. </w:t>
      </w:r>
      <w:r w:rsidRPr="0002081F">
        <w:rPr>
          <w:rFonts w:ascii="Times New Roman" w:hAnsi="Times New Roman"/>
        </w:rPr>
        <w:t>Iekšlietu</w:t>
      </w:r>
      <w:r w:rsidRPr="0002081F">
        <w:rPr>
          <w:rFonts w:ascii="Times New Roman" w:hAnsi="Times New Roman"/>
        </w:rPr>
        <w:t xml:space="preserve"> ministrija”, “15. Izglītības un zinātnes ministrija”, “16. Zemkopības ministrija”, “18. Labklājības ministrija”, “19. Tieslietu ministrija”, “29. Veselības ministrija” un “62. Mērķdotācijas pašvaldībām”” Veselības ministrijai sākot ar 2024.gada 1.janvāri papildus ir piešķirti 164 939 521 euro</w:t>
      </w:r>
      <w:r w:rsidR="00A87B4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285698534"/>
      <w:docPartObj>
        <w:docPartGallery w:val="Page Numbers (Top of Page)"/>
        <w:docPartUnique/>
      </w:docPartObj>
    </w:sdtPr>
    <w:sdtContent>
      <w:p w:rsidR="005E06C4" w:rsidRPr="00126258" w14:paraId="5F74D1ED"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6158EA">
          <w:rPr>
            <w:rFonts w:ascii="Times New Roman" w:hAnsi="Times New Roman"/>
            <w:noProof/>
            <w:sz w:val="24"/>
            <w:szCs w:val="24"/>
          </w:rPr>
          <w:t>3</w:t>
        </w:r>
        <w:r w:rsidRPr="00126258">
          <w:rPr>
            <w:rFonts w:ascii="Times New Roman" w:hAnsi="Times New Roman"/>
            <w:sz w:val="24"/>
            <w:szCs w:val="24"/>
          </w:rPr>
          <w:fldChar w:fldCharType="end"/>
        </w:r>
      </w:p>
    </w:sdtContent>
  </w:sdt>
  <w:p w:rsidR="005E06C4" w14:paraId="1FA651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1FB" w:rsidRPr="007261FB" w:rsidP="007261FB" w14:paraId="1C6B1AC6" w14:textId="77777777">
    <w:pPr>
      <w:pStyle w:val="Header"/>
      <w:tabs>
        <w:tab w:val="clear" w:pos="4153"/>
        <w:tab w:val="left" w:pos="8145"/>
        <w:tab w:val="clear" w:pos="8306"/>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9960AF"/>
    <w:multiLevelType w:val="hybridMultilevel"/>
    <w:tmpl w:val="E2E4D8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6996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DE"/>
    <w:rsid w:val="0000527F"/>
    <w:rsid w:val="000115D2"/>
    <w:rsid w:val="0002081F"/>
    <w:rsid w:val="00024437"/>
    <w:rsid w:val="000256CA"/>
    <w:rsid w:val="00026358"/>
    <w:rsid w:val="00026646"/>
    <w:rsid w:val="00032602"/>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E49E4"/>
    <w:rsid w:val="000F377C"/>
    <w:rsid w:val="000F4E7C"/>
    <w:rsid w:val="00104654"/>
    <w:rsid w:val="00110E85"/>
    <w:rsid w:val="00123CBF"/>
    <w:rsid w:val="00125A1A"/>
    <w:rsid w:val="00125BA2"/>
    <w:rsid w:val="00126258"/>
    <w:rsid w:val="00127A26"/>
    <w:rsid w:val="001321DF"/>
    <w:rsid w:val="00134E5B"/>
    <w:rsid w:val="001545B7"/>
    <w:rsid w:val="001553D6"/>
    <w:rsid w:val="00160DFB"/>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D0AF0"/>
    <w:rsid w:val="001D4BC8"/>
    <w:rsid w:val="001D5B70"/>
    <w:rsid w:val="001D5D10"/>
    <w:rsid w:val="001E50A0"/>
    <w:rsid w:val="001E51DF"/>
    <w:rsid w:val="00201BF0"/>
    <w:rsid w:val="0020352E"/>
    <w:rsid w:val="002057F9"/>
    <w:rsid w:val="00212DB7"/>
    <w:rsid w:val="00225057"/>
    <w:rsid w:val="00225EB8"/>
    <w:rsid w:val="00232DE6"/>
    <w:rsid w:val="00233A18"/>
    <w:rsid w:val="002409C9"/>
    <w:rsid w:val="0025235E"/>
    <w:rsid w:val="00255074"/>
    <w:rsid w:val="00256676"/>
    <w:rsid w:val="002778B0"/>
    <w:rsid w:val="002862CB"/>
    <w:rsid w:val="002930BF"/>
    <w:rsid w:val="00293BD5"/>
    <w:rsid w:val="002A3540"/>
    <w:rsid w:val="002A4619"/>
    <w:rsid w:val="002A661C"/>
    <w:rsid w:val="002B6E80"/>
    <w:rsid w:val="002D6C9B"/>
    <w:rsid w:val="002E23D6"/>
    <w:rsid w:val="002F0092"/>
    <w:rsid w:val="002F0CCC"/>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7430"/>
    <w:rsid w:val="003E29F0"/>
    <w:rsid w:val="003E6052"/>
    <w:rsid w:val="003F169F"/>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6461"/>
    <w:rsid w:val="004A6D08"/>
    <w:rsid w:val="004A7518"/>
    <w:rsid w:val="004B2455"/>
    <w:rsid w:val="004C2657"/>
    <w:rsid w:val="004C2BA4"/>
    <w:rsid w:val="004C6F24"/>
    <w:rsid w:val="004C7FBA"/>
    <w:rsid w:val="004D6F51"/>
    <w:rsid w:val="004D723A"/>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1591"/>
    <w:rsid w:val="005521B6"/>
    <w:rsid w:val="0055335A"/>
    <w:rsid w:val="00556D5B"/>
    <w:rsid w:val="00564153"/>
    <w:rsid w:val="0056510C"/>
    <w:rsid w:val="00570014"/>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0600A"/>
    <w:rsid w:val="00610F9D"/>
    <w:rsid w:val="00611A31"/>
    <w:rsid w:val="006151E9"/>
    <w:rsid w:val="006158EA"/>
    <w:rsid w:val="006160EE"/>
    <w:rsid w:val="00616D17"/>
    <w:rsid w:val="0063099E"/>
    <w:rsid w:val="00631F9E"/>
    <w:rsid w:val="00633C31"/>
    <w:rsid w:val="00636828"/>
    <w:rsid w:val="00637F05"/>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6C35"/>
    <w:rsid w:val="00797AD2"/>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D18D6"/>
    <w:rsid w:val="008E3A8E"/>
    <w:rsid w:val="008F3E94"/>
    <w:rsid w:val="008F70C3"/>
    <w:rsid w:val="00902CA9"/>
    <w:rsid w:val="0091364A"/>
    <w:rsid w:val="009202C1"/>
    <w:rsid w:val="00923055"/>
    <w:rsid w:val="00925A9A"/>
    <w:rsid w:val="00926F46"/>
    <w:rsid w:val="00927820"/>
    <w:rsid w:val="00951C9B"/>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F02C5"/>
    <w:rsid w:val="009F194F"/>
    <w:rsid w:val="00A04A07"/>
    <w:rsid w:val="00A06E6A"/>
    <w:rsid w:val="00A11284"/>
    <w:rsid w:val="00A20BAF"/>
    <w:rsid w:val="00A35B7B"/>
    <w:rsid w:val="00A36317"/>
    <w:rsid w:val="00A477D6"/>
    <w:rsid w:val="00A47AB2"/>
    <w:rsid w:val="00A47C5D"/>
    <w:rsid w:val="00A64F41"/>
    <w:rsid w:val="00A673E6"/>
    <w:rsid w:val="00A72C84"/>
    <w:rsid w:val="00A74B06"/>
    <w:rsid w:val="00A756E7"/>
    <w:rsid w:val="00A757DC"/>
    <w:rsid w:val="00A844A5"/>
    <w:rsid w:val="00A87B44"/>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20901"/>
    <w:rsid w:val="00B30B0C"/>
    <w:rsid w:val="00B37546"/>
    <w:rsid w:val="00B41855"/>
    <w:rsid w:val="00B45FF9"/>
    <w:rsid w:val="00B61591"/>
    <w:rsid w:val="00B7320B"/>
    <w:rsid w:val="00B7575D"/>
    <w:rsid w:val="00B77AB5"/>
    <w:rsid w:val="00B8084E"/>
    <w:rsid w:val="00B8104F"/>
    <w:rsid w:val="00B853A6"/>
    <w:rsid w:val="00B92DD6"/>
    <w:rsid w:val="00B9342E"/>
    <w:rsid w:val="00BA5A8A"/>
    <w:rsid w:val="00BB120E"/>
    <w:rsid w:val="00BB16EA"/>
    <w:rsid w:val="00BB18EA"/>
    <w:rsid w:val="00BB2022"/>
    <w:rsid w:val="00BD73D9"/>
    <w:rsid w:val="00BE191A"/>
    <w:rsid w:val="00BE3289"/>
    <w:rsid w:val="00BE3EB8"/>
    <w:rsid w:val="00BE5647"/>
    <w:rsid w:val="00BE6BB4"/>
    <w:rsid w:val="00BF781D"/>
    <w:rsid w:val="00C01B12"/>
    <w:rsid w:val="00C03EE4"/>
    <w:rsid w:val="00C05679"/>
    <w:rsid w:val="00C215C3"/>
    <w:rsid w:val="00C31F7F"/>
    <w:rsid w:val="00C36C93"/>
    <w:rsid w:val="00C40E72"/>
    <w:rsid w:val="00C43A00"/>
    <w:rsid w:val="00C67C69"/>
    <w:rsid w:val="00C8191F"/>
    <w:rsid w:val="00C86E4C"/>
    <w:rsid w:val="00C870DA"/>
    <w:rsid w:val="00C9274C"/>
    <w:rsid w:val="00C94355"/>
    <w:rsid w:val="00C9789F"/>
    <w:rsid w:val="00CA0787"/>
    <w:rsid w:val="00CA2D80"/>
    <w:rsid w:val="00CA6EE9"/>
    <w:rsid w:val="00CB110D"/>
    <w:rsid w:val="00CC344E"/>
    <w:rsid w:val="00CC4FD3"/>
    <w:rsid w:val="00CC51FE"/>
    <w:rsid w:val="00CD4D6D"/>
    <w:rsid w:val="00CD6AD2"/>
    <w:rsid w:val="00CE112B"/>
    <w:rsid w:val="00CE12D7"/>
    <w:rsid w:val="00CE3CC5"/>
    <w:rsid w:val="00CE513A"/>
    <w:rsid w:val="00CF1EB0"/>
    <w:rsid w:val="00CF4425"/>
    <w:rsid w:val="00D0758B"/>
    <w:rsid w:val="00D10C6B"/>
    <w:rsid w:val="00D12888"/>
    <w:rsid w:val="00D13CC5"/>
    <w:rsid w:val="00D14571"/>
    <w:rsid w:val="00D15161"/>
    <w:rsid w:val="00D20E32"/>
    <w:rsid w:val="00D25D57"/>
    <w:rsid w:val="00D34B6E"/>
    <w:rsid w:val="00D45F38"/>
    <w:rsid w:val="00D54D31"/>
    <w:rsid w:val="00D63A87"/>
    <w:rsid w:val="00D63CBB"/>
    <w:rsid w:val="00D63D80"/>
    <w:rsid w:val="00D64340"/>
    <w:rsid w:val="00D658A2"/>
    <w:rsid w:val="00D677D1"/>
    <w:rsid w:val="00D7385E"/>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D25"/>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323E"/>
    <w:rsid w:val="00E861B9"/>
    <w:rsid w:val="00E86825"/>
    <w:rsid w:val="00E90EB5"/>
    <w:rsid w:val="00E93E37"/>
    <w:rsid w:val="00E9757D"/>
    <w:rsid w:val="00EA15BA"/>
    <w:rsid w:val="00EA1868"/>
    <w:rsid w:val="00EA2882"/>
    <w:rsid w:val="00EA364B"/>
    <w:rsid w:val="00EA4B3C"/>
    <w:rsid w:val="00EA65E2"/>
    <w:rsid w:val="00EA6699"/>
    <w:rsid w:val="00EB061B"/>
    <w:rsid w:val="00EB2F06"/>
    <w:rsid w:val="00EB30CE"/>
    <w:rsid w:val="00EB4F6E"/>
    <w:rsid w:val="00EC1FE8"/>
    <w:rsid w:val="00EC7B25"/>
    <w:rsid w:val="00EF48C5"/>
    <w:rsid w:val="00F03BB7"/>
    <w:rsid w:val="00F06569"/>
    <w:rsid w:val="00F13BE8"/>
    <w:rsid w:val="00F14F1B"/>
    <w:rsid w:val="00F159C3"/>
    <w:rsid w:val="00F17D57"/>
    <w:rsid w:val="00F24F7D"/>
    <w:rsid w:val="00F25050"/>
    <w:rsid w:val="00F307A9"/>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22A8"/>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E70A0"/>
    <w:rsid w:val="00FF0F76"/>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350291F"/>
  <w15:docId w15:val="{9274CCA3-5F88-4840-809B-86FD4050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13A"/>
    <w:rPr>
      <w:color w:val="0000FF" w:themeColor="hyperlink"/>
      <w:u w:val="single"/>
    </w:rPr>
  </w:style>
  <w:style w:type="character" w:styleId="UnresolvedMention">
    <w:name w:val="Unresolved Mention"/>
    <w:basedOn w:val="DefaultParagraphFont"/>
    <w:uiPriority w:val="99"/>
    <w:semiHidden/>
    <w:unhideWhenUsed/>
    <w:rsid w:val="00CE513A"/>
    <w:rPr>
      <w:color w:val="605E5C"/>
      <w:shd w:val="clear" w:color="auto" w:fill="E1DFDD"/>
    </w:rPr>
  </w:style>
  <w:style w:type="paragraph" w:styleId="FootnoteText">
    <w:name w:val="footnote text"/>
    <w:basedOn w:val="Normal"/>
    <w:link w:val="FootnoteTextChar"/>
    <w:uiPriority w:val="99"/>
    <w:semiHidden/>
    <w:unhideWhenUsed/>
    <w:rsid w:val="00C21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5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215C3"/>
    <w:rPr>
      <w:vertAlign w:val="superscript"/>
    </w:rPr>
  </w:style>
  <w:style w:type="paragraph" w:styleId="ListParagraph">
    <w:name w:val="List Paragraph"/>
    <w:basedOn w:val="Normal"/>
    <w:uiPriority w:val="34"/>
    <w:qFormat/>
    <w:rsid w:val="00A87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Lolita.Melke@vm.gov.lv" TargetMode="External" /><Relationship Id="rId8" Type="http://schemas.openxmlformats.org/officeDocument/2006/relationships/hyperlink" Target="mailto:Ivita.Lazdina@vm.gov.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9DC7-27E5-47D1-829F-28AB7824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2600</Words>
  <Characters>1483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Lolita Meļķe-Prižavoite</cp:lastModifiedBy>
  <cp:revision>19</cp:revision>
  <cp:lastPrinted>2015-07-10T08:13:00Z</cp:lastPrinted>
  <dcterms:created xsi:type="dcterms:W3CDTF">2022-10-06T09:19:00Z</dcterms:created>
  <dcterms:modified xsi:type="dcterms:W3CDTF">2024-01-03T06:36:00Z</dcterms:modified>
</cp:coreProperties>
</file>